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xtxdlbbvea08" w:id="0"/>
      <w:bookmarkEnd w:id="0"/>
      <w:r w:rsidDel="00000000" w:rsidR="00000000" w:rsidRPr="00000000">
        <w:rPr>
          <w:rtl w:val="0"/>
        </w:rPr>
        <w:t xml:space="preserve">Act Now, Act Together </w:t>
      </w:r>
    </w:p>
    <w:p w:rsidR="00000000" w:rsidDel="00000000" w:rsidP="00000000" w:rsidRDefault="00000000" w:rsidRPr="00000000" w14:paraId="00000002">
      <w:pPr>
        <w:pStyle w:val="Heading2"/>
        <w:rPr/>
      </w:pPr>
      <w:bookmarkStart w:colFirst="0" w:colLast="0" w:name="_dwpqrpc8i4rc" w:id="1"/>
      <w:bookmarkEnd w:id="1"/>
      <w:r w:rsidDel="00000000" w:rsidR="00000000" w:rsidRPr="00000000">
        <w:rPr>
          <w:rtl w:val="0"/>
        </w:rPr>
        <w:t xml:space="preserve">The Canadian Council of the Blind’s World Sight Day Conference.</w:t>
      </w:r>
    </w:p>
    <w:p w:rsidR="00000000" w:rsidDel="00000000" w:rsidP="00000000" w:rsidRDefault="00000000" w:rsidRPr="00000000" w14:paraId="00000003">
      <w:pPr>
        <w:pStyle w:val="Heading2"/>
        <w:rPr/>
      </w:pPr>
      <w:bookmarkStart w:colFirst="0" w:colLast="0" w:name="_hn8kpep9c7xj" w:id="2"/>
      <w:bookmarkEnd w:id="2"/>
      <w:r w:rsidDel="00000000" w:rsidR="00000000" w:rsidRPr="00000000">
        <w:rPr>
          <w:rtl w:val="0"/>
        </w:rPr>
        <w:t xml:space="preserve">Thursday, October 9th, 2025.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rPr/>
      </w:pPr>
      <w:bookmarkStart w:colFirst="0" w:colLast="0" w:name="_17imje8jjbe" w:id="3"/>
      <w:bookmarkEnd w:id="3"/>
      <w:r w:rsidDel="00000000" w:rsidR="00000000" w:rsidRPr="00000000">
        <w:rPr>
          <w:rtl w:val="0"/>
        </w:rPr>
        <w:t xml:space="preserve">Agenda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sz w:val="32"/>
          <w:szCs w:val="32"/>
          <w:rtl w:val="0"/>
        </w:rPr>
        <w:t xml:space="preserve">1:00pm: Opening Remarks (Leslie Yee. First Vice President, Canadian Council of the Blind)</w:t>
      </w:r>
    </w:p>
    <w:p w:rsidR="00000000" w:rsidDel="00000000" w:rsidP="00000000" w:rsidRDefault="00000000" w:rsidRPr="00000000" w14:paraId="00000008">
      <w:pPr>
        <w:rPr>
          <w:sz w:val="32"/>
          <w:szCs w:val="32"/>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sz w:val="32"/>
          <w:szCs w:val="32"/>
          <w:rtl w:val="0"/>
        </w:rPr>
        <w:t xml:space="preserve">1:10pm: Welcome Message (Jim Tokos. President, Canadian Council of the Blind)</w:t>
      </w:r>
    </w:p>
    <w:p w:rsidR="00000000" w:rsidDel="00000000" w:rsidP="00000000" w:rsidRDefault="00000000" w:rsidRPr="00000000" w14:paraId="0000000A">
      <w:pPr>
        <w:rPr>
          <w:sz w:val="32"/>
          <w:szCs w:val="32"/>
        </w:rPr>
      </w:pPr>
      <w:r w:rsidDel="00000000" w:rsidR="00000000" w:rsidRPr="00000000">
        <w:rPr>
          <w:rtl w:val="0"/>
        </w:rPr>
      </w:r>
    </w:p>
    <w:p w:rsidR="00000000" w:rsidDel="00000000" w:rsidP="00000000" w:rsidRDefault="00000000" w:rsidRPr="00000000" w14:paraId="0000000B">
      <w:pPr>
        <w:rPr>
          <w:sz w:val="32"/>
          <w:szCs w:val="32"/>
        </w:rPr>
      </w:pPr>
      <w:r w:rsidDel="00000000" w:rsidR="00000000" w:rsidRPr="00000000">
        <w:rPr>
          <w:sz w:val="32"/>
          <w:szCs w:val="32"/>
          <w:rtl w:val="0"/>
        </w:rPr>
        <w:t xml:space="preserve">1:15pm: National Strategy for Eye Care Act Update (François Couillard. Chief Executive Officer, Canadian Association of Optometrists)</w:t>
      </w:r>
    </w:p>
    <w:p w:rsidR="00000000" w:rsidDel="00000000" w:rsidP="00000000" w:rsidRDefault="00000000" w:rsidRPr="00000000" w14:paraId="0000000C">
      <w:pPr>
        <w:rPr>
          <w:sz w:val="32"/>
          <w:szCs w:val="32"/>
        </w:rPr>
      </w:pPr>
      <w:r w:rsidDel="00000000" w:rsidR="00000000" w:rsidRPr="00000000">
        <w:rPr>
          <w:rtl w:val="0"/>
        </w:rPr>
      </w:r>
    </w:p>
    <w:p w:rsidR="00000000" w:rsidDel="00000000" w:rsidP="00000000" w:rsidRDefault="00000000" w:rsidRPr="00000000" w14:paraId="0000000D">
      <w:pPr>
        <w:rPr>
          <w:sz w:val="32"/>
          <w:szCs w:val="32"/>
        </w:rPr>
      </w:pPr>
      <w:r w:rsidDel="00000000" w:rsidR="00000000" w:rsidRPr="00000000">
        <w:rPr>
          <w:sz w:val="32"/>
          <w:szCs w:val="32"/>
          <w:rtl w:val="0"/>
        </w:rPr>
        <w:t xml:space="preserve">1:30pm: Specsavers’ Canada Eyecare Report 2025 (Dr. Hiba Mannan. Head of Professional Services, Specsavers.) </w:t>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sz w:val="32"/>
          <w:szCs w:val="32"/>
          <w:rtl w:val="0"/>
        </w:rPr>
        <w:t xml:space="preserve">2:00pm: A Clear Start (Andrew Galster. Executive Director, CNIB)</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2:20pm until 3:00pm: Refreshment Break/Lunch</w:t>
      </w:r>
    </w:p>
    <w:p w:rsidR="00000000" w:rsidDel="00000000" w:rsidP="00000000" w:rsidRDefault="00000000" w:rsidRPr="00000000" w14:paraId="00000012">
      <w:pPr>
        <w:rPr>
          <w:sz w:val="32"/>
          <w:szCs w:val="32"/>
        </w:rPr>
      </w:pPr>
      <w:r w:rsidDel="00000000" w:rsidR="00000000" w:rsidRPr="00000000">
        <w:rPr>
          <w:rtl w:val="0"/>
        </w:rPr>
      </w:r>
    </w:p>
    <w:p w:rsidR="00000000" w:rsidDel="00000000" w:rsidP="00000000" w:rsidRDefault="00000000" w:rsidRPr="00000000" w14:paraId="00000013">
      <w:pPr>
        <w:rPr>
          <w:sz w:val="32"/>
          <w:szCs w:val="32"/>
        </w:rPr>
      </w:pPr>
      <w:r w:rsidDel="00000000" w:rsidR="00000000" w:rsidRPr="00000000">
        <w:rPr>
          <w:sz w:val="32"/>
          <w:szCs w:val="32"/>
          <w:rtl w:val="0"/>
        </w:rPr>
        <w:t xml:space="preserve">3:00pm: Innovative Therapies in Vision Science: Advances, Challenges, and Opportunities (Dr. Larissa Moniz. Director of Research and Mission Programs, Fighting Blindness Canada)</w:t>
      </w:r>
    </w:p>
    <w:p w:rsidR="00000000" w:rsidDel="00000000" w:rsidP="00000000" w:rsidRDefault="00000000" w:rsidRPr="00000000" w14:paraId="00000014">
      <w:pPr>
        <w:rPr>
          <w:sz w:val="32"/>
          <w:szCs w:val="32"/>
        </w:rPr>
      </w:pPr>
      <w:r w:rsidDel="00000000" w:rsidR="00000000" w:rsidRPr="00000000">
        <w:rPr>
          <w:rtl w:val="0"/>
        </w:rPr>
      </w:r>
    </w:p>
    <w:p w:rsidR="00000000" w:rsidDel="00000000" w:rsidP="00000000" w:rsidRDefault="00000000" w:rsidRPr="00000000" w14:paraId="00000015">
      <w:pPr>
        <w:rPr>
          <w:sz w:val="32"/>
          <w:szCs w:val="32"/>
        </w:rPr>
      </w:pPr>
      <w:r w:rsidDel="00000000" w:rsidR="00000000" w:rsidRPr="00000000">
        <w:rPr>
          <w:sz w:val="32"/>
          <w:szCs w:val="32"/>
          <w:rtl w:val="0"/>
        </w:rPr>
        <w:t xml:space="preserve">3:30pm: Mental Health Matters, Act Now! (Melanie Marsden, MSW. Traditional Counsellor, Anishnawbe Health Toronto)</w:t>
      </w:r>
    </w:p>
    <w:p w:rsidR="00000000" w:rsidDel="00000000" w:rsidP="00000000" w:rsidRDefault="00000000" w:rsidRPr="00000000" w14:paraId="00000016">
      <w:pPr>
        <w:rPr>
          <w:sz w:val="32"/>
          <w:szCs w:val="32"/>
        </w:rPr>
      </w:pP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sz w:val="32"/>
          <w:szCs w:val="32"/>
          <w:rtl w:val="0"/>
        </w:rPr>
        <w:t xml:space="preserve">4:00pm: Closing Remarks (Leslie Yee. First Vice President, Canadian Council of the Blind)</w:t>
      </w:r>
    </w:p>
    <w:p w:rsidR="00000000" w:rsidDel="00000000" w:rsidP="00000000" w:rsidRDefault="00000000" w:rsidRPr="00000000" w14:paraId="00000018">
      <w:pPr>
        <w:rPr>
          <w:sz w:val="32"/>
          <w:szCs w:val="32"/>
        </w:rPr>
      </w:pPr>
      <w:r w:rsidDel="00000000" w:rsidR="00000000" w:rsidRPr="00000000">
        <w:rPr>
          <w:rtl w:val="0"/>
        </w:rPr>
      </w:r>
    </w:p>
    <w:p w:rsidR="00000000" w:rsidDel="00000000" w:rsidP="00000000" w:rsidRDefault="00000000" w:rsidRPr="00000000" w14:paraId="00000019">
      <w:pPr>
        <w:rPr>
          <w:sz w:val="32"/>
          <w:szCs w:val="32"/>
        </w:rPr>
      </w:pPr>
      <w:r w:rsidDel="00000000" w:rsidR="00000000" w:rsidRPr="00000000">
        <w:rPr>
          <w:sz w:val="32"/>
          <w:szCs w:val="32"/>
          <w:rtl w:val="0"/>
        </w:rPr>
        <w:t xml:space="preserve">4:10pm: Networking Hour</w:t>
      </w:r>
    </w:p>
    <w:p w:rsidR="00000000" w:rsidDel="00000000" w:rsidP="00000000" w:rsidRDefault="00000000" w:rsidRPr="00000000" w14:paraId="0000001A">
      <w:pPr>
        <w:rPr>
          <w:sz w:val="32"/>
          <w:szCs w:val="32"/>
        </w:rPr>
      </w:pPr>
      <w:r w:rsidDel="00000000" w:rsidR="00000000" w:rsidRPr="00000000">
        <w:rPr>
          <w:rtl w:val="0"/>
        </w:rPr>
      </w:r>
    </w:p>
    <w:p w:rsidR="00000000" w:rsidDel="00000000" w:rsidP="00000000" w:rsidRDefault="00000000" w:rsidRPr="00000000" w14:paraId="0000001B">
      <w:pPr>
        <w:rPr>
          <w:sz w:val="32"/>
          <w:szCs w:val="32"/>
        </w:rPr>
      </w:pPr>
      <w:r w:rsidDel="00000000" w:rsidR="00000000" w:rsidRPr="00000000">
        <w:rPr>
          <w:rtl w:val="0"/>
        </w:rPr>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rtl w:val="0"/>
        </w:rPr>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sz w:val="32"/>
          <w:szCs w:val="32"/>
        </w:rPr>
      </w:pPr>
      <w:r w:rsidDel="00000000" w:rsidR="00000000" w:rsidRPr="00000000">
        <w:rPr>
          <w:rtl w:val="0"/>
        </w:rPr>
      </w:r>
    </w:p>
    <w:p w:rsidR="00000000" w:rsidDel="00000000" w:rsidP="00000000" w:rsidRDefault="00000000" w:rsidRPr="00000000" w14:paraId="00000020">
      <w:pPr>
        <w:rPr>
          <w:sz w:val="32"/>
          <w:szCs w:val="32"/>
        </w:rPr>
      </w:pPr>
      <w:r w:rsidDel="00000000" w:rsidR="00000000" w:rsidRPr="00000000">
        <w:rPr>
          <w:rtl w:val="0"/>
        </w:rPr>
      </w:r>
    </w:p>
    <w:p w:rsidR="00000000" w:rsidDel="00000000" w:rsidP="00000000" w:rsidRDefault="00000000" w:rsidRPr="00000000" w14:paraId="00000021">
      <w:pPr>
        <w:rPr>
          <w:sz w:val="32"/>
          <w:szCs w:val="32"/>
        </w:rPr>
      </w:pPr>
      <w:r w:rsidDel="00000000" w:rsidR="00000000" w:rsidRPr="00000000">
        <w:rPr>
          <w:rtl w:val="0"/>
        </w:rPr>
      </w:r>
    </w:p>
    <w:p w:rsidR="00000000" w:rsidDel="00000000" w:rsidP="00000000" w:rsidRDefault="00000000" w:rsidRPr="00000000" w14:paraId="00000022">
      <w:pPr>
        <w:rPr>
          <w:sz w:val="32"/>
          <w:szCs w:val="32"/>
        </w:rPr>
      </w:pPr>
      <w:r w:rsidDel="00000000" w:rsidR="00000000" w:rsidRPr="00000000">
        <w:rPr>
          <w:rtl w:val="0"/>
        </w:rPr>
      </w:r>
    </w:p>
    <w:p w:rsidR="00000000" w:rsidDel="00000000" w:rsidP="00000000" w:rsidRDefault="00000000" w:rsidRPr="00000000" w14:paraId="00000023">
      <w:pPr>
        <w:rPr>
          <w:sz w:val="32"/>
          <w:szCs w:val="32"/>
        </w:rPr>
      </w:pPr>
      <w:r w:rsidDel="00000000" w:rsidR="00000000" w:rsidRPr="00000000">
        <w:rPr>
          <w:rtl w:val="0"/>
        </w:rPr>
      </w:r>
    </w:p>
    <w:p w:rsidR="00000000" w:rsidDel="00000000" w:rsidP="00000000" w:rsidRDefault="00000000" w:rsidRPr="00000000" w14:paraId="00000024">
      <w:pPr>
        <w:rPr>
          <w:sz w:val="32"/>
          <w:szCs w:val="32"/>
        </w:rPr>
      </w:pPr>
      <w:r w:rsidDel="00000000" w:rsidR="00000000" w:rsidRPr="00000000">
        <w:rPr>
          <w:sz w:val="32"/>
          <w:szCs w:val="32"/>
          <w:rtl w:val="0"/>
        </w:rPr>
        <w:t xml:space="preserve">This conference has been sponsored by: </w:t>
      </w:r>
    </w:p>
    <w:p w:rsidR="00000000" w:rsidDel="00000000" w:rsidP="00000000" w:rsidRDefault="00000000" w:rsidRPr="00000000" w14:paraId="00000025">
      <w:pPr>
        <w:rPr>
          <w:sz w:val="32"/>
          <w:szCs w:val="32"/>
        </w:rPr>
      </w:pPr>
      <w:r w:rsidDel="00000000" w:rsidR="00000000" w:rsidRPr="00000000">
        <w:rPr>
          <w:sz w:val="32"/>
          <w:szCs w:val="32"/>
          <w:rtl w:val="0"/>
        </w:rPr>
        <w:t xml:space="preserve">Abbvie</w:t>
      </w:r>
    </w:p>
    <w:p w:rsidR="00000000" w:rsidDel="00000000" w:rsidP="00000000" w:rsidRDefault="00000000" w:rsidRPr="00000000" w14:paraId="00000026">
      <w:pPr>
        <w:rPr>
          <w:sz w:val="32"/>
          <w:szCs w:val="32"/>
        </w:rPr>
      </w:pPr>
      <w:r w:rsidDel="00000000" w:rsidR="00000000" w:rsidRPr="00000000">
        <w:rPr>
          <w:sz w:val="32"/>
          <w:szCs w:val="32"/>
          <w:rtl w:val="0"/>
        </w:rPr>
        <w:t xml:space="preserve">Accessible Media Inc.</w:t>
      </w:r>
    </w:p>
    <w:p w:rsidR="00000000" w:rsidDel="00000000" w:rsidP="00000000" w:rsidRDefault="00000000" w:rsidRPr="00000000" w14:paraId="00000027">
      <w:pPr>
        <w:rPr>
          <w:sz w:val="32"/>
          <w:szCs w:val="32"/>
        </w:rPr>
      </w:pPr>
      <w:r w:rsidDel="00000000" w:rsidR="00000000" w:rsidRPr="00000000">
        <w:rPr>
          <w:sz w:val="32"/>
          <w:szCs w:val="32"/>
          <w:rtl w:val="0"/>
        </w:rPr>
        <w:t xml:space="preserve">Astellas</w:t>
      </w:r>
    </w:p>
    <w:p w:rsidR="00000000" w:rsidDel="00000000" w:rsidP="00000000" w:rsidRDefault="00000000" w:rsidRPr="00000000" w14:paraId="00000028">
      <w:pPr>
        <w:rPr>
          <w:sz w:val="32"/>
          <w:szCs w:val="32"/>
        </w:rPr>
      </w:pPr>
      <w:r w:rsidDel="00000000" w:rsidR="00000000" w:rsidRPr="00000000">
        <w:rPr>
          <w:sz w:val="32"/>
          <w:szCs w:val="32"/>
          <w:rtl w:val="0"/>
        </w:rPr>
        <w:t xml:space="preserve">Bausch + Lomb</w:t>
      </w:r>
    </w:p>
    <w:p w:rsidR="00000000" w:rsidDel="00000000" w:rsidP="00000000" w:rsidRDefault="00000000" w:rsidRPr="00000000" w14:paraId="00000029">
      <w:pPr>
        <w:rPr>
          <w:sz w:val="32"/>
          <w:szCs w:val="32"/>
        </w:rPr>
      </w:pPr>
      <w:r w:rsidDel="00000000" w:rsidR="00000000" w:rsidRPr="00000000">
        <w:rPr>
          <w:sz w:val="32"/>
          <w:szCs w:val="32"/>
          <w:rtl w:val="0"/>
        </w:rPr>
        <w:t xml:space="preserve">Bayer</w:t>
      </w:r>
    </w:p>
    <w:p w:rsidR="00000000" w:rsidDel="00000000" w:rsidP="00000000" w:rsidRDefault="00000000" w:rsidRPr="00000000" w14:paraId="0000002A">
      <w:pPr>
        <w:rPr>
          <w:sz w:val="32"/>
          <w:szCs w:val="32"/>
        </w:rPr>
      </w:pPr>
      <w:r w:rsidDel="00000000" w:rsidR="00000000" w:rsidRPr="00000000">
        <w:rPr>
          <w:sz w:val="32"/>
          <w:szCs w:val="32"/>
          <w:rtl w:val="0"/>
        </w:rPr>
        <w:t xml:space="preserve">Johnson&amp;Johnson</w:t>
      </w:r>
    </w:p>
    <w:p w:rsidR="00000000" w:rsidDel="00000000" w:rsidP="00000000" w:rsidRDefault="00000000" w:rsidRPr="00000000" w14:paraId="0000002B">
      <w:pPr>
        <w:rPr>
          <w:sz w:val="32"/>
          <w:szCs w:val="32"/>
        </w:rPr>
      </w:pPr>
      <w:r w:rsidDel="00000000" w:rsidR="00000000" w:rsidRPr="00000000">
        <w:rPr>
          <w:sz w:val="32"/>
          <w:szCs w:val="32"/>
          <w:rtl w:val="0"/>
        </w:rPr>
        <w:t xml:space="preserve">Roche</w:t>
      </w:r>
    </w:p>
    <w:p w:rsidR="00000000" w:rsidDel="00000000" w:rsidP="00000000" w:rsidRDefault="00000000" w:rsidRPr="00000000" w14:paraId="0000002C">
      <w:pPr>
        <w:rPr>
          <w:sz w:val="32"/>
          <w:szCs w:val="32"/>
        </w:rPr>
      </w:pPr>
      <w:r w:rsidDel="00000000" w:rsidR="00000000" w:rsidRPr="00000000">
        <w:rPr>
          <w:sz w:val="32"/>
          <w:szCs w:val="32"/>
          <w:rtl w:val="0"/>
        </w:rPr>
        <w:t xml:space="preserve">Specsavers</w:t>
      </w:r>
    </w:p>
    <w:p w:rsidR="00000000" w:rsidDel="00000000" w:rsidP="00000000" w:rsidRDefault="00000000" w:rsidRPr="00000000" w14:paraId="0000002D">
      <w:pPr>
        <w:rPr>
          <w:sz w:val="32"/>
          <w:szCs w:val="32"/>
        </w:rPr>
      </w:pPr>
      <w:r w:rsidDel="00000000" w:rsidR="00000000" w:rsidRPr="00000000">
        <w:rPr>
          <w:rtl w:val="0"/>
        </w:rPr>
      </w:r>
    </w:p>
    <w:p w:rsidR="00000000" w:rsidDel="00000000" w:rsidP="00000000" w:rsidRDefault="00000000" w:rsidRPr="00000000" w14:paraId="0000002E">
      <w:pPr>
        <w:rPr>
          <w:sz w:val="32"/>
          <w:szCs w:val="32"/>
        </w:rPr>
      </w:pPr>
      <w:r w:rsidDel="00000000" w:rsidR="00000000" w:rsidRPr="00000000">
        <w:rPr>
          <w:rtl w:val="0"/>
        </w:rPr>
      </w:r>
    </w:p>
    <w:p w:rsidR="00000000" w:rsidDel="00000000" w:rsidP="00000000" w:rsidRDefault="00000000" w:rsidRPr="00000000" w14:paraId="0000002F">
      <w:pPr>
        <w:pStyle w:val="Heading1"/>
        <w:rPr/>
      </w:pPr>
      <w:bookmarkStart w:colFirst="0" w:colLast="0" w:name="_y8vqj2n98xbl" w:id="4"/>
      <w:bookmarkEnd w:id="4"/>
      <w:r w:rsidDel="00000000" w:rsidR="00000000" w:rsidRPr="00000000">
        <w:rPr>
          <w:rtl w:val="0"/>
        </w:rPr>
        <w:t xml:space="preserve">Detailed Program</w:t>
      </w:r>
    </w:p>
    <w:p w:rsidR="00000000" w:rsidDel="00000000" w:rsidP="00000000" w:rsidRDefault="00000000" w:rsidRPr="00000000" w14:paraId="00000030">
      <w:pPr>
        <w:pStyle w:val="Heading2"/>
        <w:rPr>
          <w:sz w:val="36"/>
          <w:szCs w:val="36"/>
        </w:rPr>
      </w:pPr>
      <w:bookmarkStart w:colFirst="0" w:colLast="0" w:name="_ifs4v2hh2ba8" w:id="5"/>
      <w:bookmarkEnd w:id="5"/>
      <w:r w:rsidDel="00000000" w:rsidR="00000000" w:rsidRPr="00000000">
        <w:rPr>
          <w:sz w:val="36"/>
          <w:szCs w:val="36"/>
          <w:rtl w:val="0"/>
        </w:rPr>
        <w:t xml:space="preserve">National Strategy for Eye Care Act Update</w:t>
      </w:r>
    </w:p>
    <w:p w:rsidR="00000000" w:rsidDel="00000000" w:rsidP="00000000" w:rsidRDefault="00000000" w:rsidRPr="00000000" w14:paraId="00000031">
      <w:pPr>
        <w:rPr>
          <w:sz w:val="30"/>
          <w:szCs w:val="30"/>
        </w:rPr>
      </w:pPr>
      <w:r w:rsidDel="00000000" w:rsidR="00000000" w:rsidRPr="00000000">
        <w:rPr>
          <w:sz w:val="30"/>
          <w:szCs w:val="30"/>
          <w:rtl w:val="0"/>
        </w:rPr>
        <w:t xml:space="preserve">François Couillard, CEO of the Canadian Association of Optometrists (CAO), will provide an update on the National Strategy for Eye Care Act from his perspective, highlighting the work being done through the Vision Health Partners advocacy group.</w:t>
      </w:r>
    </w:p>
    <w:p w:rsidR="00000000" w:rsidDel="00000000" w:rsidP="00000000" w:rsidRDefault="00000000" w:rsidRPr="00000000" w14:paraId="00000032">
      <w:pPr>
        <w:rPr>
          <w:sz w:val="30"/>
          <w:szCs w:val="30"/>
        </w:rPr>
      </w:pPr>
      <w:r w:rsidDel="00000000" w:rsidR="00000000" w:rsidRPr="00000000">
        <w:rPr>
          <w:rtl w:val="0"/>
        </w:rPr>
      </w:r>
    </w:p>
    <w:p w:rsidR="00000000" w:rsidDel="00000000" w:rsidP="00000000" w:rsidRDefault="00000000" w:rsidRPr="00000000" w14:paraId="00000033">
      <w:pPr>
        <w:pStyle w:val="Heading2"/>
        <w:rPr>
          <w:sz w:val="36"/>
          <w:szCs w:val="36"/>
        </w:rPr>
      </w:pPr>
      <w:bookmarkStart w:colFirst="0" w:colLast="0" w:name="_y19wqfe5x8p7" w:id="6"/>
      <w:bookmarkEnd w:id="6"/>
      <w:r w:rsidDel="00000000" w:rsidR="00000000" w:rsidRPr="00000000">
        <w:rPr>
          <w:sz w:val="36"/>
          <w:szCs w:val="36"/>
          <w:rtl w:val="0"/>
        </w:rPr>
        <w:t xml:space="preserve">Canada Eyecare Report 2025</w:t>
      </w:r>
    </w:p>
    <w:p w:rsidR="00000000" w:rsidDel="00000000" w:rsidP="00000000" w:rsidRDefault="00000000" w:rsidRPr="00000000" w14:paraId="00000034">
      <w:pPr>
        <w:rPr>
          <w:sz w:val="32"/>
          <w:szCs w:val="32"/>
        </w:rPr>
      </w:pPr>
      <w:r w:rsidDel="00000000" w:rsidR="00000000" w:rsidRPr="00000000">
        <w:rPr>
          <w:sz w:val="32"/>
          <w:szCs w:val="32"/>
          <w:rtl w:val="0"/>
        </w:rPr>
        <w:t xml:space="preserve">Dr. Hiba Mannan, Head of Professional Services at Specsavers Canada, will present key insights from the newly released Canada Eyecare Report 2025. Based on a national survey commissioned by Specsavers, the report examines critical issues surrounding access to eye care across the country. In this engaging talk, Dr. Mannan will delve into Canada’s eye care awareness gap,explore the barriers preventing Canadians from accessing care, and highlight the populations most at risk.</w:t>
      </w:r>
    </w:p>
    <w:p w:rsidR="00000000" w:rsidDel="00000000" w:rsidP="00000000" w:rsidRDefault="00000000" w:rsidRPr="00000000" w14:paraId="00000035">
      <w:pPr>
        <w:rPr>
          <w:sz w:val="32"/>
          <w:szCs w:val="32"/>
        </w:rPr>
      </w:pPr>
      <w:r w:rsidDel="00000000" w:rsidR="00000000" w:rsidRPr="00000000">
        <w:rPr>
          <w:rtl w:val="0"/>
        </w:rPr>
      </w:r>
    </w:p>
    <w:p w:rsidR="00000000" w:rsidDel="00000000" w:rsidP="00000000" w:rsidRDefault="00000000" w:rsidRPr="00000000" w14:paraId="00000036">
      <w:pPr>
        <w:pStyle w:val="Heading2"/>
        <w:rPr>
          <w:sz w:val="36"/>
          <w:szCs w:val="36"/>
        </w:rPr>
      </w:pPr>
      <w:bookmarkStart w:colFirst="0" w:colLast="0" w:name="_p6ivufmwkl8l" w:id="7"/>
      <w:bookmarkEnd w:id="7"/>
      <w:r w:rsidDel="00000000" w:rsidR="00000000" w:rsidRPr="00000000">
        <w:rPr>
          <w:sz w:val="36"/>
          <w:szCs w:val="36"/>
          <w:rtl w:val="0"/>
        </w:rPr>
        <w:t xml:space="preserve">A Clear Start</w:t>
      </w:r>
    </w:p>
    <w:p w:rsidR="00000000" w:rsidDel="00000000" w:rsidP="00000000" w:rsidRDefault="00000000" w:rsidRPr="00000000" w14:paraId="00000037">
      <w:pPr>
        <w:rPr>
          <w:sz w:val="32"/>
          <w:szCs w:val="32"/>
        </w:rPr>
      </w:pPr>
      <w:r w:rsidDel="00000000" w:rsidR="00000000" w:rsidRPr="00000000">
        <w:rPr>
          <w:sz w:val="32"/>
          <w:szCs w:val="32"/>
          <w:rtl w:val="0"/>
        </w:rPr>
        <w:t xml:space="preserve">Andrew Galster is the Executive Director at the Canadian National Institute for the Blind (CNIB) in Ontario. In this talk, Andrew will discuss the importance of early childhood eye exams. This session will highlight the medical urgency of diagnosing treatable conditions early, the link between vision and long-term educational and employment outcomes, and offer a practical roadmap to improve uptake through health and education systems.</w:t>
      </w:r>
    </w:p>
    <w:p w:rsidR="00000000" w:rsidDel="00000000" w:rsidP="00000000" w:rsidRDefault="00000000" w:rsidRPr="00000000" w14:paraId="00000038">
      <w:pPr>
        <w:rPr>
          <w:sz w:val="32"/>
          <w:szCs w:val="32"/>
        </w:rPr>
      </w:pPr>
      <w:r w:rsidDel="00000000" w:rsidR="00000000" w:rsidRPr="00000000">
        <w:rPr>
          <w:rtl w:val="0"/>
        </w:rPr>
      </w:r>
    </w:p>
    <w:p w:rsidR="00000000" w:rsidDel="00000000" w:rsidP="00000000" w:rsidRDefault="00000000" w:rsidRPr="00000000" w14:paraId="00000039">
      <w:pPr>
        <w:pStyle w:val="Heading2"/>
        <w:rPr>
          <w:sz w:val="36"/>
          <w:szCs w:val="36"/>
        </w:rPr>
      </w:pPr>
      <w:bookmarkStart w:colFirst="0" w:colLast="0" w:name="_x5x5k94ixbve" w:id="8"/>
      <w:bookmarkEnd w:id="8"/>
      <w:r w:rsidDel="00000000" w:rsidR="00000000" w:rsidRPr="00000000">
        <w:rPr>
          <w:sz w:val="36"/>
          <w:szCs w:val="36"/>
          <w:rtl w:val="0"/>
        </w:rPr>
        <w:t xml:space="preserve">Innovative Therapies in Vision Science: Advances, Challenges, and Opportunities</w:t>
      </w:r>
    </w:p>
    <w:p w:rsidR="00000000" w:rsidDel="00000000" w:rsidP="00000000" w:rsidRDefault="00000000" w:rsidRPr="00000000" w14:paraId="0000003A">
      <w:pPr>
        <w:rPr>
          <w:sz w:val="32"/>
          <w:szCs w:val="32"/>
        </w:rPr>
      </w:pPr>
      <w:r w:rsidDel="00000000" w:rsidR="00000000" w:rsidRPr="00000000">
        <w:rPr>
          <w:sz w:val="32"/>
          <w:szCs w:val="32"/>
          <w:rtl w:val="0"/>
        </w:rPr>
        <w:t xml:space="preserve">Dr. Larissa Moniz, Director of Research and Mission Programs at Fighting Blindness Canada (FBC), will explore some of the most promising innovative therapies for treating blinding eye diseases, including gene therapy, cell replacement therapy, optogenetics, and retinal prostheses. Dr. Moniz will review the potential for treating conditions like inherited retinal diseases and age-related macular degeneration (AMD). The talk will also examine the broader ecosystem challenges that shape their future, including regulation, long-term safety, cost, and access.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rPr>
          <w:sz w:val="36"/>
          <w:szCs w:val="36"/>
        </w:rPr>
      </w:pPr>
      <w:bookmarkStart w:colFirst="0" w:colLast="0" w:name="_hxumv3t5be9x" w:id="9"/>
      <w:bookmarkEnd w:id="9"/>
      <w:r w:rsidDel="00000000" w:rsidR="00000000" w:rsidRPr="00000000">
        <w:rPr>
          <w:sz w:val="36"/>
          <w:szCs w:val="36"/>
          <w:rtl w:val="0"/>
        </w:rPr>
        <w:t xml:space="preserve">Mental Health Matters, Act Now!</w:t>
      </w:r>
    </w:p>
    <w:p w:rsidR="00000000" w:rsidDel="00000000" w:rsidP="00000000" w:rsidRDefault="00000000" w:rsidRPr="00000000" w14:paraId="0000003D">
      <w:pPr>
        <w:rPr>
          <w:sz w:val="32"/>
          <w:szCs w:val="32"/>
        </w:rPr>
      </w:pPr>
      <w:r w:rsidDel="00000000" w:rsidR="00000000" w:rsidRPr="00000000">
        <w:rPr>
          <w:sz w:val="32"/>
          <w:szCs w:val="32"/>
          <w:rtl w:val="0"/>
        </w:rPr>
        <w:t xml:space="preserve">Drawing on her lived experience as an Indigenous blind woman and her over 20 years as a social worker, Melanie will share her journey of resilience, the power of technology, and the importance of collaboration in breaking down barriers and improving mental health.</w:t>
      </w:r>
    </w:p>
    <w:p w:rsidR="00000000" w:rsidDel="00000000" w:rsidP="00000000" w:rsidRDefault="00000000" w:rsidRPr="00000000" w14:paraId="0000003E">
      <w:pPr>
        <w:rPr>
          <w:sz w:val="32"/>
          <w:szCs w:val="32"/>
        </w:rPr>
      </w:pPr>
      <w:r w:rsidDel="00000000" w:rsidR="00000000" w:rsidRPr="00000000">
        <w:rPr>
          <w:rtl w:val="0"/>
        </w:rPr>
      </w:r>
    </w:p>
    <w:p w:rsidR="00000000" w:rsidDel="00000000" w:rsidP="00000000" w:rsidRDefault="00000000" w:rsidRPr="00000000" w14:paraId="0000003F">
      <w:pPr>
        <w:rPr>
          <w:sz w:val="32"/>
          <w:szCs w:val="32"/>
        </w:rPr>
      </w:pPr>
      <w:r w:rsidDel="00000000" w:rsidR="00000000" w:rsidRPr="00000000">
        <w:rPr>
          <w:sz w:val="32"/>
          <w:szCs w:val="32"/>
          <w:rtl w:val="0"/>
        </w:rPr>
        <w:t xml:space="preserve">This conference has been sponsored by: </w:t>
      </w:r>
    </w:p>
    <w:p w:rsidR="00000000" w:rsidDel="00000000" w:rsidP="00000000" w:rsidRDefault="00000000" w:rsidRPr="00000000" w14:paraId="00000040">
      <w:pPr>
        <w:rPr>
          <w:sz w:val="32"/>
          <w:szCs w:val="32"/>
        </w:rPr>
      </w:pPr>
      <w:r w:rsidDel="00000000" w:rsidR="00000000" w:rsidRPr="00000000">
        <w:rPr>
          <w:sz w:val="32"/>
          <w:szCs w:val="32"/>
          <w:rtl w:val="0"/>
        </w:rPr>
        <w:t xml:space="preserve">Abbvie</w:t>
      </w:r>
    </w:p>
    <w:p w:rsidR="00000000" w:rsidDel="00000000" w:rsidP="00000000" w:rsidRDefault="00000000" w:rsidRPr="00000000" w14:paraId="00000041">
      <w:pPr>
        <w:rPr>
          <w:sz w:val="32"/>
          <w:szCs w:val="32"/>
        </w:rPr>
      </w:pPr>
      <w:r w:rsidDel="00000000" w:rsidR="00000000" w:rsidRPr="00000000">
        <w:rPr>
          <w:sz w:val="32"/>
          <w:szCs w:val="32"/>
          <w:rtl w:val="0"/>
        </w:rPr>
        <w:t xml:space="preserve">Accessible Media Inc.</w:t>
      </w:r>
    </w:p>
    <w:p w:rsidR="00000000" w:rsidDel="00000000" w:rsidP="00000000" w:rsidRDefault="00000000" w:rsidRPr="00000000" w14:paraId="00000042">
      <w:pPr>
        <w:rPr>
          <w:sz w:val="32"/>
          <w:szCs w:val="32"/>
        </w:rPr>
      </w:pPr>
      <w:r w:rsidDel="00000000" w:rsidR="00000000" w:rsidRPr="00000000">
        <w:rPr>
          <w:sz w:val="32"/>
          <w:szCs w:val="32"/>
          <w:rtl w:val="0"/>
        </w:rPr>
        <w:t xml:space="preserve">Astellas</w:t>
      </w:r>
    </w:p>
    <w:p w:rsidR="00000000" w:rsidDel="00000000" w:rsidP="00000000" w:rsidRDefault="00000000" w:rsidRPr="00000000" w14:paraId="00000043">
      <w:pPr>
        <w:rPr>
          <w:sz w:val="32"/>
          <w:szCs w:val="32"/>
        </w:rPr>
      </w:pPr>
      <w:r w:rsidDel="00000000" w:rsidR="00000000" w:rsidRPr="00000000">
        <w:rPr>
          <w:sz w:val="32"/>
          <w:szCs w:val="32"/>
          <w:rtl w:val="0"/>
        </w:rPr>
        <w:t xml:space="preserve">Bausch + Lomb</w:t>
      </w:r>
    </w:p>
    <w:p w:rsidR="00000000" w:rsidDel="00000000" w:rsidP="00000000" w:rsidRDefault="00000000" w:rsidRPr="00000000" w14:paraId="00000044">
      <w:pPr>
        <w:rPr>
          <w:sz w:val="32"/>
          <w:szCs w:val="32"/>
        </w:rPr>
      </w:pPr>
      <w:r w:rsidDel="00000000" w:rsidR="00000000" w:rsidRPr="00000000">
        <w:rPr>
          <w:sz w:val="32"/>
          <w:szCs w:val="32"/>
          <w:rtl w:val="0"/>
        </w:rPr>
        <w:t xml:space="preserve">Bayer</w:t>
      </w:r>
    </w:p>
    <w:p w:rsidR="00000000" w:rsidDel="00000000" w:rsidP="00000000" w:rsidRDefault="00000000" w:rsidRPr="00000000" w14:paraId="00000045">
      <w:pPr>
        <w:rPr>
          <w:sz w:val="32"/>
          <w:szCs w:val="32"/>
        </w:rPr>
      </w:pPr>
      <w:r w:rsidDel="00000000" w:rsidR="00000000" w:rsidRPr="00000000">
        <w:rPr>
          <w:sz w:val="32"/>
          <w:szCs w:val="32"/>
          <w:rtl w:val="0"/>
        </w:rPr>
        <w:t xml:space="preserve">Johnson&amp;Johnson</w:t>
      </w:r>
    </w:p>
    <w:p w:rsidR="00000000" w:rsidDel="00000000" w:rsidP="00000000" w:rsidRDefault="00000000" w:rsidRPr="00000000" w14:paraId="00000046">
      <w:pPr>
        <w:rPr>
          <w:sz w:val="32"/>
          <w:szCs w:val="32"/>
        </w:rPr>
      </w:pPr>
      <w:r w:rsidDel="00000000" w:rsidR="00000000" w:rsidRPr="00000000">
        <w:rPr>
          <w:sz w:val="32"/>
          <w:szCs w:val="32"/>
          <w:rtl w:val="0"/>
        </w:rPr>
        <w:t xml:space="preserve">Roche</w:t>
      </w:r>
    </w:p>
    <w:p w:rsidR="00000000" w:rsidDel="00000000" w:rsidP="00000000" w:rsidRDefault="00000000" w:rsidRPr="00000000" w14:paraId="00000047">
      <w:pPr>
        <w:rPr>
          <w:sz w:val="32"/>
          <w:szCs w:val="32"/>
        </w:rPr>
      </w:pPr>
      <w:r w:rsidDel="00000000" w:rsidR="00000000" w:rsidRPr="00000000">
        <w:rPr>
          <w:sz w:val="32"/>
          <w:szCs w:val="32"/>
          <w:rtl w:val="0"/>
        </w:rPr>
        <w:t xml:space="preserve">Specsavers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